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D35" w:rsidRDefault="00817D35" w:rsidP="00094EF1">
      <w:pPr>
        <w:spacing w:after="0" w:line="480" w:lineRule="auto"/>
        <w:jc w:val="center"/>
        <w:rPr>
          <w:rFonts w:ascii="Times New Roman" w:hAnsi="Times New Roman" w:cs="Times New Roman"/>
          <w:sz w:val="24"/>
          <w:szCs w:val="24"/>
        </w:rPr>
      </w:pPr>
      <w:bookmarkStart w:id="0" w:name="_GoBack"/>
      <w:bookmarkEnd w:id="0"/>
    </w:p>
    <w:p w:rsidR="00817D35" w:rsidRDefault="00817D35" w:rsidP="00094EF1">
      <w:pPr>
        <w:spacing w:after="0" w:line="480" w:lineRule="auto"/>
        <w:jc w:val="center"/>
        <w:rPr>
          <w:rFonts w:ascii="Times New Roman" w:hAnsi="Times New Roman" w:cs="Times New Roman"/>
          <w:sz w:val="24"/>
          <w:szCs w:val="24"/>
        </w:rPr>
      </w:pPr>
    </w:p>
    <w:p w:rsidR="00817D35" w:rsidRDefault="00817D35" w:rsidP="00094EF1">
      <w:pPr>
        <w:spacing w:after="0" w:line="480" w:lineRule="auto"/>
        <w:jc w:val="center"/>
        <w:rPr>
          <w:rFonts w:ascii="Times New Roman" w:hAnsi="Times New Roman" w:cs="Times New Roman"/>
          <w:sz w:val="24"/>
          <w:szCs w:val="24"/>
        </w:rPr>
      </w:pPr>
    </w:p>
    <w:p w:rsidR="00817D35" w:rsidRDefault="00817D35" w:rsidP="00094EF1">
      <w:pPr>
        <w:spacing w:after="0" w:line="480" w:lineRule="auto"/>
        <w:jc w:val="center"/>
        <w:rPr>
          <w:rFonts w:ascii="Times New Roman" w:hAnsi="Times New Roman" w:cs="Times New Roman"/>
          <w:sz w:val="24"/>
          <w:szCs w:val="24"/>
        </w:rPr>
      </w:pPr>
    </w:p>
    <w:p w:rsidR="00817D35" w:rsidRDefault="00817D35" w:rsidP="00094EF1">
      <w:pPr>
        <w:spacing w:after="0" w:line="480" w:lineRule="auto"/>
        <w:jc w:val="center"/>
        <w:rPr>
          <w:rFonts w:ascii="Times New Roman" w:hAnsi="Times New Roman" w:cs="Times New Roman"/>
          <w:sz w:val="24"/>
          <w:szCs w:val="24"/>
        </w:rPr>
      </w:pPr>
    </w:p>
    <w:p w:rsidR="00817D35" w:rsidRDefault="00817D35" w:rsidP="00094EF1">
      <w:pPr>
        <w:spacing w:after="0" w:line="480" w:lineRule="auto"/>
        <w:jc w:val="center"/>
        <w:rPr>
          <w:rFonts w:ascii="Times New Roman" w:hAnsi="Times New Roman" w:cs="Times New Roman"/>
          <w:sz w:val="24"/>
          <w:szCs w:val="24"/>
        </w:rPr>
      </w:pPr>
    </w:p>
    <w:p w:rsidR="00126EF6" w:rsidRDefault="00C67AC1" w:rsidP="00094E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Connection Report</w:t>
      </w:r>
      <w:r w:rsidR="00A91768">
        <w:rPr>
          <w:rFonts w:ascii="Times New Roman" w:hAnsi="Times New Roman" w:cs="Times New Roman"/>
          <w:sz w:val="24"/>
          <w:szCs w:val="24"/>
        </w:rPr>
        <w:t xml:space="preserve"> on the International Monetary Fund (IMF) </w:t>
      </w:r>
    </w:p>
    <w:p w:rsidR="00817D35" w:rsidRDefault="00C67AC1" w:rsidP="00094E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17D35" w:rsidRDefault="00C67AC1" w:rsidP="00094E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7D35" w:rsidRPr="00817D35" w:rsidRDefault="00817D35" w:rsidP="00094EF1">
      <w:pPr>
        <w:spacing w:after="0" w:line="480" w:lineRule="auto"/>
        <w:rPr>
          <w:rFonts w:ascii="Times New Roman" w:hAnsi="Times New Roman" w:cs="Times New Roman"/>
          <w:sz w:val="24"/>
          <w:szCs w:val="24"/>
        </w:rPr>
      </w:pPr>
    </w:p>
    <w:p w:rsidR="00817D35" w:rsidRDefault="00817D35" w:rsidP="00094EF1">
      <w:pPr>
        <w:spacing w:after="0" w:line="480" w:lineRule="auto"/>
        <w:rPr>
          <w:rFonts w:ascii="Times New Roman" w:hAnsi="Times New Roman" w:cs="Times New Roman"/>
          <w:sz w:val="24"/>
          <w:szCs w:val="24"/>
        </w:rPr>
      </w:pPr>
    </w:p>
    <w:p w:rsidR="00094EF1" w:rsidRDefault="00094EF1">
      <w:pPr>
        <w:rPr>
          <w:rFonts w:ascii="Times New Roman" w:hAnsi="Times New Roman" w:cs="Times New Roman"/>
          <w:b/>
          <w:sz w:val="24"/>
          <w:szCs w:val="24"/>
        </w:rPr>
      </w:pPr>
      <w:r>
        <w:rPr>
          <w:rFonts w:ascii="Times New Roman" w:hAnsi="Times New Roman" w:cs="Times New Roman"/>
          <w:b/>
          <w:sz w:val="24"/>
          <w:szCs w:val="24"/>
        </w:rPr>
        <w:br w:type="page"/>
      </w:r>
    </w:p>
    <w:p w:rsidR="00817D35" w:rsidRPr="00094EF1" w:rsidRDefault="00C67AC1" w:rsidP="00094EF1">
      <w:pPr>
        <w:spacing w:after="0" w:line="480" w:lineRule="auto"/>
        <w:jc w:val="center"/>
        <w:rPr>
          <w:rFonts w:ascii="Times New Roman" w:hAnsi="Times New Roman" w:cs="Times New Roman"/>
          <w:sz w:val="24"/>
          <w:szCs w:val="24"/>
        </w:rPr>
      </w:pPr>
      <w:r w:rsidRPr="00094EF1">
        <w:rPr>
          <w:rFonts w:ascii="Times New Roman" w:hAnsi="Times New Roman" w:cs="Times New Roman"/>
          <w:sz w:val="24"/>
          <w:szCs w:val="24"/>
        </w:rPr>
        <w:lastRenderedPageBreak/>
        <w:t>Connection Report</w:t>
      </w:r>
      <w:r w:rsidR="00A91768" w:rsidRPr="00094EF1">
        <w:rPr>
          <w:rFonts w:ascii="Times New Roman" w:hAnsi="Times New Roman" w:cs="Times New Roman"/>
          <w:sz w:val="24"/>
          <w:szCs w:val="24"/>
        </w:rPr>
        <w:t xml:space="preserve"> on the International Monetary Fund (IMF)</w:t>
      </w:r>
    </w:p>
    <w:p w:rsidR="006E324E" w:rsidRDefault="00C67AC1" w:rsidP="00094EF1">
      <w:pPr>
        <w:spacing w:after="0" w:line="480" w:lineRule="auto"/>
        <w:rPr>
          <w:rFonts w:ascii="Times New Roman" w:hAnsi="Times New Roman" w:cs="Times New Roman"/>
          <w:b/>
          <w:sz w:val="24"/>
          <w:szCs w:val="24"/>
        </w:rPr>
      </w:pPr>
      <w:r>
        <w:rPr>
          <w:rFonts w:ascii="Times New Roman" w:hAnsi="Times New Roman" w:cs="Times New Roman"/>
          <w:b/>
          <w:sz w:val="24"/>
          <w:szCs w:val="24"/>
        </w:rPr>
        <w:t>Description</w:t>
      </w:r>
    </w:p>
    <w:p w:rsidR="00A91768" w:rsidRDefault="00C67AC1" w:rsidP="00094EF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"World Economic Outlook Update" is an online article by the IMF published on Jan. 2019 to give a comprehensive analysis of the global trade. The report provides insight into the issue of weakening global expansion that has seen the growth rate decline at an approximate rate of 3.7% by October 2018. The most affected continents are Asia and Europe; however, the IMF forecasts a growth of 3.5% this year</w:t>
      </w:r>
      <w:r w:rsidR="00762654">
        <w:rPr>
          <w:rFonts w:ascii="Times New Roman" w:hAnsi="Times New Roman" w:cs="Times New Roman"/>
          <w:sz w:val="24"/>
          <w:szCs w:val="24"/>
        </w:rPr>
        <w:t xml:space="preserve"> (IMF, 2019)</w:t>
      </w:r>
      <w:r>
        <w:rPr>
          <w:rFonts w:ascii="Times New Roman" w:hAnsi="Times New Roman" w:cs="Times New Roman"/>
          <w:sz w:val="24"/>
          <w:szCs w:val="24"/>
        </w:rPr>
        <w:t xml:space="preserve">. </w:t>
      </w:r>
      <w:r w:rsidR="009423D9">
        <w:rPr>
          <w:rFonts w:ascii="Times New Roman" w:hAnsi="Times New Roman" w:cs="Times New Roman"/>
          <w:sz w:val="24"/>
          <w:szCs w:val="24"/>
        </w:rPr>
        <w:t>The primary cause of the weak</w:t>
      </w:r>
      <w:r>
        <w:rPr>
          <w:rFonts w:ascii="Times New Roman" w:hAnsi="Times New Roman" w:cs="Times New Roman"/>
          <w:sz w:val="24"/>
          <w:szCs w:val="24"/>
        </w:rPr>
        <w:t xml:space="preserve"> economic growth</w:t>
      </w:r>
      <w:r w:rsidR="009423D9">
        <w:rPr>
          <w:rFonts w:ascii="Times New Roman" w:hAnsi="Times New Roman" w:cs="Times New Roman"/>
          <w:sz w:val="24"/>
          <w:szCs w:val="24"/>
        </w:rPr>
        <w:t xml:space="preserve"> is the new tariffs the US and China announced at the beginning of the year. Germany has diverted its commercial efforts to energy sustainability while Italy is focusing on its domestic financial markets</w:t>
      </w:r>
      <w:r w:rsidR="00053DDA">
        <w:rPr>
          <w:rFonts w:ascii="Times New Roman" w:hAnsi="Times New Roman" w:cs="Times New Roman"/>
          <w:sz w:val="24"/>
          <w:szCs w:val="24"/>
        </w:rPr>
        <w:t xml:space="preserve">; these are supposed to be </w:t>
      </w:r>
      <w:r w:rsidR="009423D9">
        <w:rPr>
          <w:rFonts w:ascii="Times New Roman" w:hAnsi="Times New Roman" w:cs="Times New Roman"/>
          <w:sz w:val="24"/>
          <w:szCs w:val="24"/>
        </w:rPr>
        <w:t>positive indicator</w:t>
      </w:r>
      <w:r w:rsidR="00053DDA">
        <w:rPr>
          <w:rFonts w:ascii="Times New Roman" w:hAnsi="Times New Roman" w:cs="Times New Roman"/>
          <w:sz w:val="24"/>
          <w:szCs w:val="24"/>
        </w:rPr>
        <w:t>s</w:t>
      </w:r>
      <w:r w:rsidR="009423D9">
        <w:rPr>
          <w:rFonts w:ascii="Times New Roman" w:hAnsi="Times New Roman" w:cs="Times New Roman"/>
          <w:sz w:val="24"/>
          <w:szCs w:val="24"/>
        </w:rPr>
        <w:t xml:space="preserve"> of the weakening momentum. Again, 2018 was characterized by trade tensions due to vast amounts of public and private debts among the world's major economies. The </w:t>
      </w:r>
      <w:r w:rsidR="00D178EF">
        <w:rPr>
          <w:rFonts w:ascii="Times New Roman" w:hAnsi="Times New Roman" w:cs="Times New Roman"/>
          <w:sz w:val="24"/>
          <w:szCs w:val="24"/>
        </w:rPr>
        <w:t xml:space="preserve">article evaluates the effects of the </w:t>
      </w:r>
      <w:r w:rsidR="009423D9">
        <w:rPr>
          <w:rFonts w:ascii="Times New Roman" w:hAnsi="Times New Roman" w:cs="Times New Roman"/>
          <w:sz w:val="24"/>
          <w:szCs w:val="24"/>
        </w:rPr>
        <w:t xml:space="preserve">United Kingdom (UK) </w:t>
      </w:r>
      <w:r w:rsidR="00D178EF">
        <w:rPr>
          <w:rFonts w:ascii="Times New Roman" w:hAnsi="Times New Roman" w:cs="Times New Roman"/>
          <w:sz w:val="24"/>
          <w:szCs w:val="24"/>
        </w:rPr>
        <w:t xml:space="preserve">withdrawing </w:t>
      </w:r>
      <w:r w:rsidR="009423D9">
        <w:rPr>
          <w:rFonts w:ascii="Times New Roman" w:hAnsi="Times New Roman" w:cs="Times New Roman"/>
          <w:sz w:val="24"/>
          <w:szCs w:val="24"/>
        </w:rPr>
        <w:t xml:space="preserve">from the European Union (EU) </w:t>
      </w:r>
      <w:r w:rsidR="00D178EF">
        <w:rPr>
          <w:rFonts w:ascii="Times New Roman" w:hAnsi="Times New Roman" w:cs="Times New Roman"/>
          <w:sz w:val="24"/>
          <w:szCs w:val="24"/>
        </w:rPr>
        <w:t xml:space="preserve">and it since it </w:t>
      </w:r>
      <w:r w:rsidR="009423D9">
        <w:rPr>
          <w:rFonts w:ascii="Times New Roman" w:hAnsi="Times New Roman" w:cs="Times New Roman"/>
          <w:sz w:val="24"/>
          <w:szCs w:val="24"/>
        </w:rPr>
        <w:t>was not anticipated</w:t>
      </w:r>
      <w:r w:rsidR="00D178EF">
        <w:rPr>
          <w:rFonts w:ascii="Times New Roman" w:hAnsi="Times New Roman" w:cs="Times New Roman"/>
          <w:sz w:val="24"/>
          <w:szCs w:val="24"/>
        </w:rPr>
        <w:t>, it</w:t>
      </w:r>
      <w:r w:rsidR="009423D9">
        <w:rPr>
          <w:rFonts w:ascii="Times New Roman" w:hAnsi="Times New Roman" w:cs="Times New Roman"/>
          <w:sz w:val="24"/>
          <w:szCs w:val="24"/>
        </w:rPr>
        <w:t xml:space="preserve"> created trade barriers that contributed to the slowdown in the global economic trend.</w:t>
      </w:r>
    </w:p>
    <w:p w:rsidR="009423D9" w:rsidRDefault="00C67AC1" w:rsidP="00094EF1">
      <w:pPr>
        <w:spacing w:after="0" w:line="480" w:lineRule="auto"/>
        <w:rPr>
          <w:rFonts w:ascii="Times New Roman" w:hAnsi="Times New Roman" w:cs="Times New Roman"/>
          <w:b/>
          <w:sz w:val="24"/>
          <w:szCs w:val="24"/>
        </w:rPr>
      </w:pPr>
      <w:r w:rsidRPr="009423D9">
        <w:rPr>
          <w:rFonts w:ascii="Times New Roman" w:hAnsi="Times New Roman" w:cs="Times New Roman"/>
          <w:b/>
          <w:sz w:val="24"/>
          <w:szCs w:val="24"/>
        </w:rPr>
        <w:t>International Business Concepts</w:t>
      </w:r>
    </w:p>
    <w:p w:rsidR="00D178EF" w:rsidRPr="00D178EF" w:rsidRDefault="00C67AC1" w:rsidP="00094EF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repositories of information within the article align with the international business concepts discussed in class since it demonstrates that globalization efforts are at stake. Inflation of commodities worldwide led to the unexpected slowdown in the economic growth since the prices of crude oil skyrocketed. Also, the US imposed sanctions on crude oil imported from Iran consequently pushing its price to $55 per barrel</w:t>
      </w:r>
      <w:r w:rsidR="00762654">
        <w:rPr>
          <w:rFonts w:ascii="Times New Roman" w:hAnsi="Times New Roman" w:cs="Times New Roman"/>
          <w:sz w:val="24"/>
          <w:szCs w:val="24"/>
        </w:rPr>
        <w:t xml:space="preserve"> (IMF, 2019)</w:t>
      </w:r>
      <w:r>
        <w:rPr>
          <w:rFonts w:ascii="Times New Roman" w:hAnsi="Times New Roman" w:cs="Times New Roman"/>
          <w:sz w:val="24"/>
          <w:szCs w:val="24"/>
        </w:rPr>
        <w:t>. The increased demand for agricult</w:t>
      </w:r>
      <w:r w:rsidR="009B24EF">
        <w:rPr>
          <w:rFonts w:ascii="Times New Roman" w:hAnsi="Times New Roman" w:cs="Times New Roman"/>
          <w:sz w:val="24"/>
          <w:szCs w:val="24"/>
        </w:rPr>
        <w:t xml:space="preserve">ural produce especially China has exerted inflationary pressures on emerging economies. </w:t>
      </w:r>
      <w:r w:rsidR="009B24EF">
        <w:rPr>
          <w:rFonts w:ascii="Times New Roman" w:hAnsi="Times New Roman" w:cs="Times New Roman"/>
          <w:sz w:val="24"/>
          <w:szCs w:val="24"/>
        </w:rPr>
        <w:lastRenderedPageBreak/>
        <w:t xml:space="preserve">The IMF reports that since the decline, advanced economies have put strict financial conditions and their Central Banks are adopting more careful approaches that aim to reduce the funds allocated for international reserves.  </w:t>
      </w:r>
      <w:r>
        <w:rPr>
          <w:rFonts w:ascii="Times New Roman" w:hAnsi="Times New Roman" w:cs="Times New Roman"/>
          <w:sz w:val="24"/>
          <w:szCs w:val="24"/>
        </w:rPr>
        <w:t xml:space="preserve"> </w:t>
      </w:r>
    </w:p>
    <w:p w:rsidR="009423D9" w:rsidRDefault="00C67AC1" w:rsidP="00094EF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5E99">
        <w:rPr>
          <w:rFonts w:ascii="Times New Roman" w:hAnsi="Times New Roman" w:cs="Times New Roman"/>
          <w:sz w:val="24"/>
          <w:szCs w:val="24"/>
        </w:rPr>
        <w:tab/>
      </w:r>
      <w:r>
        <w:rPr>
          <w:rFonts w:ascii="Times New Roman" w:hAnsi="Times New Roman" w:cs="Times New Roman"/>
          <w:sz w:val="24"/>
          <w:szCs w:val="24"/>
        </w:rPr>
        <w:t xml:space="preserve">Moreover, emerging economies such as Mexico, the Philippines, Thailand, and South Africa </w:t>
      </w:r>
      <w:r w:rsidR="0085290D">
        <w:rPr>
          <w:rFonts w:ascii="Times New Roman" w:hAnsi="Times New Roman" w:cs="Times New Roman"/>
          <w:sz w:val="24"/>
          <w:szCs w:val="24"/>
        </w:rPr>
        <w:t xml:space="preserve">have raised their policy levels to accumulate funds that will ease their existing domestic financial conditions. </w:t>
      </w:r>
      <w:r w:rsidR="007357DB">
        <w:rPr>
          <w:rFonts w:ascii="Times New Roman" w:hAnsi="Times New Roman" w:cs="Times New Roman"/>
          <w:sz w:val="24"/>
          <w:szCs w:val="24"/>
        </w:rPr>
        <w:t xml:space="preserve">In this regard, these countries have </w:t>
      </w:r>
      <w:r w:rsidR="000A63B6">
        <w:rPr>
          <w:rFonts w:ascii="Times New Roman" w:hAnsi="Times New Roman" w:cs="Times New Roman"/>
          <w:sz w:val="24"/>
          <w:szCs w:val="24"/>
        </w:rPr>
        <w:t xml:space="preserve">lowered their reserve thresholds and liquefied assets of most non-banking institutions in preparation for another slowdown in 2019. </w:t>
      </w:r>
      <w:r w:rsidR="00F60E85">
        <w:rPr>
          <w:rFonts w:ascii="Times New Roman" w:hAnsi="Times New Roman" w:cs="Times New Roman"/>
          <w:sz w:val="24"/>
          <w:szCs w:val="24"/>
        </w:rPr>
        <w:t>Besides, the exchange rates have changed significantly causing emerging economies to experience capital outflow in 2018 in the face of stable US currency</w:t>
      </w:r>
      <w:r w:rsidR="00762654">
        <w:rPr>
          <w:rFonts w:ascii="Times New Roman" w:hAnsi="Times New Roman" w:cs="Times New Roman"/>
          <w:sz w:val="24"/>
          <w:szCs w:val="24"/>
        </w:rPr>
        <w:t xml:space="preserve"> (IMF, 2019)</w:t>
      </w:r>
      <w:r w:rsidR="00F60E85">
        <w:rPr>
          <w:rFonts w:ascii="Times New Roman" w:hAnsi="Times New Roman" w:cs="Times New Roman"/>
          <w:sz w:val="24"/>
          <w:szCs w:val="24"/>
        </w:rPr>
        <w:t>. On the contrary, the Euro weakened by 2% as well as the 2% depreciation of the Pound following the Brexit. Collectively, the tariffs, the financial conditions, and the policies that the major economies have taken are likely to sp</w:t>
      </w:r>
      <w:r w:rsidR="005618CD">
        <w:rPr>
          <w:rFonts w:ascii="Times New Roman" w:hAnsi="Times New Roman" w:cs="Times New Roman"/>
          <w:sz w:val="24"/>
          <w:szCs w:val="24"/>
        </w:rPr>
        <w:t xml:space="preserve">ark </w:t>
      </w:r>
      <w:r w:rsidR="00F60E85">
        <w:rPr>
          <w:rFonts w:ascii="Times New Roman" w:hAnsi="Times New Roman" w:cs="Times New Roman"/>
          <w:sz w:val="24"/>
          <w:szCs w:val="24"/>
        </w:rPr>
        <w:t xml:space="preserve">retaliatory measures from emerging economies. </w:t>
      </w:r>
    </w:p>
    <w:p w:rsidR="00CB21E0" w:rsidRPr="00CB21E0" w:rsidRDefault="00C67AC1" w:rsidP="00094EF1">
      <w:pPr>
        <w:spacing w:after="0" w:line="480" w:lineRule="auto"/>
        <w:rPr>
          <w:rFonts w:ascii="Times New Roman" w:hAnsi="Times New Roman" w:cs="Times New Roman"/>
          <w:b/>
          <w:sz w:val="24"/>
          <w:szCs w:val="24"/>
        </w:rPr>
      </w:pPr>
      <w:r w:rsidRPr="00CB21E0">
        <w:rPr>
          <w:rFonts w:ascii="Times New Roman" w:hAnsi="Times New Roman" w:cs="Times New Roman"/>
          <w:b/>
          <w:sz w:val="24"/>
          <w:szCs w:val="24"/>
        </w:rPr>
        <w:t>Reaction and Critique</w:t>
      </w:r>
    </w:p>
    <w:p w:rsidR="00CB21E0" w:rsidRDefault="00C67AC1" w:rsidP="00094EF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 am frustrated with the current economic growth problems since from a global outlook; it is likely to affect trade negotiation due to the stringent financial conditions. I believe that it will be wise if countries resolve their differences without adopting distortive sanctions, the slowdown in the global economic growth will cease. The article is very enlightening since it has provided an intensive and extensive evaluation of the international monetary issues. The IMF mentions instances such as the 90-day Chinese truce that has affected her trading relationship with the US</w:t>
      </w:r>
      <w:r w:rsidR="00762654">
        <w:rPr>
          <w:rFonts w:ascii="Times New Roman" w:hAnsi="Times New Roman" w:cs="Times New Roman"/>
          <w:sz w:val="24"/>
          <w:szCs w:val="24"/>
        </w:rPr>
        <w:t xml:space="preserve"> (IMF, 2019)</w:t>
      </w:r>
      <w:r>
        <w:rPr>
          <w:rFonts w:ascii="Times New Roman" w:hAnsi="Times New Roman" w:cs="Times New Roman"/>
          <w:sz w:val="24"/>
          <w:szCs w:val="24"/>
        </w:rPr>
        <w:t xml:space="preserve">.  The article reiterates that the difficulties in trade negotiations patterns globally can only be reversed through ratification approaches that </w:t>
      </w:r>
      <w:r w:rsidR="00762654">
        <w:rPr>
          <w:rFonts w:ascii="Times New Roman" w:hAnsi="Times New Roman" w:cs="Times New Roman"/>
          <w:sz w:val="24"/>
          <w:szCs w:val="24"/>
        </w:rPr>
        <w:t>will reduce the tariffs. Besides, it explains pejoratively that the global financial image will be dented if the depression continues in the long term and the emerging economies will be negatively affected.</w:t>
      </w:r>
    </w:p>
    <w:p w:rsidR="00094EF1" w:rsidRDefault="00094EF1">
      <w:pPr>
        <w:rPr>
          <w:rFonts w:ascii="Times New Roman" w:hAnsi="Times New Roman" w:cs="Times New Roman"/>
          <w:sz w:val="24"/>
          <w:szCs w:val="24"/>
        </w:rPr>
      </w:pPr>
      <w:r>
        <w:rPr>
          <w:rFonts w:ascii="Times New Roman" w:hAnsi="Times New Roman" w:cs="Times New Roman"/>
          <w:sz w:val="24"/>
          <w:szCs w:val="24"/>
        </w:rPr>
        <w:br w:type="page"/>
      </w:r>
    </w:p>
    <w:p w:rsidR="00762654" w:rsidRDefault="00C67AC1" w:rsidP="00094E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62654" w:rsidRDefault="00C67AC1" w:rsidP="00094EF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IMF. (2019). World economic outlook update: A weakening global expansion. Retrieved from</w:t>
      </w:r>
      <w:r>
        <w:rPr>
          <w:rFonts w:ascii="Times New Roman" w:hAnsi="Times New Roman" w:cs="Times New Roman"/>
          <w:sz w:val="24"/>
          <w:szCs w:val="24"/>
        </w:rPr>
        <w:tab/>
        <w:t xml:space="preserve"> </w:t>
      </w:r>
      <w:hyperlink r:id="rId6" w:history="1">
        <w:r w:rsidRPr="00D76AEC">
          <w:rPr>
            <w:rStyle w:val="Hyperlink"/>
            <w:rFonts w:ascii="Times New Roman" w:hAnsi="Times New Roman" w:cs="Times New Roman"/>
            <w:sz w:val="24"/>
            <w:szCs w:val="24"/>
          </w:rPr>
          <w:t>https://www.imf.org/en/Publications/WEO/Issues/2019/01/11/weo-update-january-2019</w:t>
        </w:r>
      </w:hyperlink>
    </w:p>
    <w:p w:rsidR="00762654" w:rsidRDefault="00762654" w:rsidP="00094EF1">
      <w:pPr>
        <w:spacing w:after="0" w:line="480" w:lineRule="auto"/>
        <w:rPr>
          <w:rFonts w:ascii="Times New Roman" w:hAnsi="Times New Roman" w:cs="Times New Roman"/>
          <w:sz w:val="24"/>
          <w:szCs w:val="24"/>
        </w:rPr>
      </w:pPr>
    </w:p>
    <w:p w:rsidR="00762654" w:rsidRDefault="00762654" w:rsidP="00094EF1">
      <w:pPr>
        <w:spacing w:after="0" w:line="480" w:lineRule="auto"/>
        <w:rPr>
          <w:rFonts w:ascii="Times New Roman" w:hAnsi="Times New Roman" w:cs="Times New Roman"/>
          <w:sz w:val="24"/>
          <w:szCs w:val="24"/>
        </w:rPr>
      </w:pPr>
    </w:p>
    <w:p w:rsidR="00762654" w:rsidRDefault="00762654" w:rsidP="00094EF1">
      <w:pPr>
        <w:spacing w:after="0" w:line="480" w:lineRule="auto"/>
        <w:rPr>
          <w:rFonts w:ascii="Times New Roman" w:hAnsi="Times New Roman" w:cs="Times New Roman"/>
          <w:sz w:val="24"/>
          <w:szCs w:val="24"/>
        </w:rPr>
      </w:pPr>
    </w:p>
    <w:p w:rsidR="00CB21E0" w:rsidRDefault="00CB21E0" w:rsidP="00094EF1">
      <w:pPr>
        <w:spacing w:after="0" w:line="480" w:lineRule="auto"/>
        <w:rPr>
          <w:rFonts w:ascii="Times New Roman" w:hAnsi="Times New Roman" w:cs="Times New Roman"/>
          <w:sz w:val="24"/>
          <w:szCs w:val="24"/>
        </w:rPr>
      </w:pPr>
    </w:p>
    <w:p w:rsidR="00CB21E0" w:rsidRDefault="00CB21E0" w:rsidP="00094EF1">
      <w:pPr>
        <w:spacing w:after="0" w:line="480" w:lineRule="auto"/>
        <w:rPr>
          <w:rFonts w:ascii="Times New Roman" w:hAnsi="Times New Roman" w:cs="Times New Roman"/>
          <w:sz w:val="24"/>
          <w:szCs w:val="24"/>
        </w:rPr>
      </w:pPr>
    </w:p>
    <w:p w:rsidR="00F60E85" w:rsidRPr="00D178EF" w:rsidRDefault="00C67AC1" w:rsidP="00094EF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423D9" w:rsidRPr="00A91768" w:rsidRDefault="009423D9" w:rsidP="00094EF1">
      <w:pPr>
        <w:spacing w:after="0" w:line="480" w:lineRule="auto"/>
        <w:rPr>
          <w:rFonts w:ascii="Times New Roman" w:hAnsi="Times New Roman" w:cs="Times New Roman"/>
          <w:sz w:val="24"/>
          <w:szCs w:val="24"/>
        </w:rPr>
      </w:pPr>
    </w:p>
    <w:p w:rsidR="00817D35" w:rsidRPr="00817D35" w:rsidRDefault="00817D35" w:rsidP="00094EF1">
      <w:pPr>
        <w:spacing w:after="0" w:line="480" w:lineRule="auto"/>
        <w:rPr>
          <w:rFonts w:ascii="Times New Roman" w:hAnsi="Times New Roman" w:cs="Times New Roman"/>
          <w:sz w:val="24"/>
          <w:szCs w:val="24"/>
        </w:rPr>
      </w:pPr>
    </w:p>
    <w:sectPr w:rsidR="00817D35" w:rsidRPr="00817D35" w:rsidSect="00817D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7B6" w:rsidRDefault="000E37B6">
      <w:pPr>
        <w:spacing w:after="0" w:line="240" w:lineRule="auto"/>
      </w:pPr>
      <w:r>
        <w:separator/>
      </w:r>
    </w:p>
  </w:endnote>
  <w:endnote w:type="continuationSeparator" w:id="0">
    <w:p w:rsidR="000E37B6" w:rsidRDefault="000E3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7B6" w:rsidRDefault="000E37B6">
      <w:pPr>
        <w:spacing w:after="0" w:line="240" w:lineRule="auto"/>
      </w:pPr>
      <w:r>
        <w:separator/>
      </w:r>
    </w:p>
  </w:footnote>
  <w:footnote w:type="continuationSeparator" w:id="0">
    <w:p w:rsidR="000E37B6" w:rsidRDefault="000E3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35" w:rsidRPr="00817D35" w:rsidRDefault="00C67AC1" w:rsidP="00817D35">
    <w:pPr>
      <w:pStyle w:val="Header"/>
      <w:spacing w:line="480" w:lineRule="auto"/>
      <w:rPr>
        <w:rFonts w:ascii="Times New Roman" w:hAnsi="Times New Roman" w:cs="Times New Roman"/>
        <w:sz w:val="24"/>
        <w:szCs w:val="24"/>
      </w:rPr>
    </w:pPr>
    <w:r w:rsidRPr="00817D35">
      <w:rPr>
        <w:rFonts w:ascii="Times New Roman" w:hAnsi="Times New Roman" w:cs="Times New Roman"/>
        <w:sz w:val="24"/>
        <w:szCs w:val="24"/>
      </w:rPr>
      <w:t>CONNECTION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7D35">
      <w:rPr>
        <w:rFonts w:ascii="Times New Roman" w:hAnsi="Times New Roman" w:cs="Times New Roman"/>
        <w:sz w:val="24"/>
        <w:szCs w:val="24"/>
      </w:rPr>
      <w:t xml:space="preserve"> </w:t>
    </w:r>
    <w:sdt>
      <w:sdtPr>
        <w:rPr>
          <w:rFonts w:ascii="Times New Roman" w:hAnsi="Times New Roman" w:cs="Times New Roman"/>
          <w:sz w:val="24"/>
          <w:szCs w:val="24"/>
        </w:rPr>
        <w:id w:val="1904711737"/>
        <w:docPartObj>
          <w:docPartGallery w:val="Page Numbers (Top of Page)"/>
          <w:docPartUnique/>
        </w:docPartObj>
      </w:sdtPr>
      <w:sdtEndPr>
        <w:rPr>
          <w:noProof/>
        </w:rPr>
      </w:sdtEndPr>
      <w:sdtContent>
        <w:r w:rsidRPr="00817D35">
          <w:rPr>
            <w:rFonts w:ascii="Times New Roman" w:hAnsi="Times New Roman" w:cs="Times New Roman"/>
            <w:sz w:val="24"/>
            <w:szCs w:val="24"/>
          </w:rPr>
          <w:fldChar w:fldCharType="begin"/>
        </w:r>
        <w:r w:rsidRPr="00817D35">
          <w:rPr>
            <w:rFonts w:ascii="Times New Roman" w:hAnsi="Times New Roman" w:cs="Times New Roman"/>
            <w:sz w:val="24"/>
            <w:szCs w:val="24"/>
          </w:rPr>
          <w:instrText xml:space="preserve"> PAGE   \* MERGEFORMAT </w:instrText>
        </w:r>
        <w:r w:rsidRPr="00817D35">
          <w:rPr>
            <w:rFonts w:ascii="Times New Roman" w:hAnsi="Times New Roman" w:cs="Times New Roman"/>
            <w:sz w:val="24"/>
            <w:szCs w:val="24"/>
          </w:rPr>
          <w:fldChar w:fldCharType="separate"/>
        </w:r>
        <w:r w:rsidR="00393DE3">
          <w:rPr>
            <w:rFonts w:ascii="Times New Roman" w:hAnsi="Times New Roman" w:cs="Times New Roman"/>
            <w:noProof/>
            <w:sz w:val="24"/>
            <w:szCs w:val="24"/>
          </w:rPr>
          <w:t>2</w:t>
        </w:r>
        <w:r w:rsidRPr="00817D35">
          <w:rPr>
            <w:rFonts w:ascii="Times New Roman" w:hAnsi="Times New Roman" w:cs="Times New Roman"/>
            <w:noProof/>
            <w:sz w:val="24"/>
            <w:szCs w:val="24"/>
          </w:rPr>
          <w:fldChar w:fldCharType="end"/>
        </w:r>
      </w:sdtContent>
    </w:sdt>
  </w:p>
  <w:p w:rsidR="00817D35" w:rsidRDefault="00817D3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35" w:rsidRPr="00817D35" w:rsidRDefault="00C67AC1" w:rsidP="00817D35">
    <w:pPr>
      <w:pStyle w:val="Header"/>
      <w:spacing w:line="480" w:lineRule="auto"/>
      <w:rPr>
        <w:rFonts w:ascii="Times New Roman" w:hAnsi="Times New Roman" w:cs="Times New Roman"/>
        <w:sz w:val="24"/>
        <w:szCs w:val="24"/>
      </w:rPr>
    </w:pPr>
    <w:r w:rsidRPr="00817D35">
      <w:rPr>
        <w:rFonts w:ascii="Times New Roman" w:hAnsi="Times New Roman" w:cs="Times New Roman"/>
        <w:sz w:val="24"/>
        <w:szCs w:val="24"/>
      </w:rPr>
      <w:t>Running head: CONNECTION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7D35">
      <w:rPr>
        <w:rFonts w:ascii="Times New Roman" w:hAnsi="Times New Roman" w:cs="Times New Roman"/>
        <w:sz w:val="24"/>
        <w:szCs w:val="24"/>
      </w:rPr>
      <w:t xml:space="preserve"> </w:t>
    </w:r>
    <w:sdt>
      <w:sdtPr>
        <w:rPr>
          <w:rFonts w:ascii="Times New Roman" w:hAnsi="Times New Roman" w:cs="Times New Roman"/>
          <w:sz w:val="24"/>
          <w:szCs w:val="24"/>
        </w:rPr>
        <w:id w:val="81183102"/>
        <w:docPartObj>
          <w:docPartGallery w:val="Page Numbers (Top of Page)"/>
          <w:docPartUnique/>
        </w:docPartObj>
      </w:sdtPr>
      <w:sdtEndPr>
        <w:rPr>
          <w:noProof/>
        </w:rPr>
      </w:sdtEndPr>
      <w:sdtContent>
        <w:r w:rsidRPr="00817D35">
          <w:rPr>
            <w:rFonts w:ascii="Times New Roman" w:hAnsi="Times New Roman" w:cs="Times New Roman"/>
            <w:sz w:val="24"/>
            <w:szCs w:val="24"/>
          </w:rPr>
          <w:fldChar w:fldCharType="begin"/>
        </w:r>
        <w:r w:rsidRPr="00817D35">
          <w:rPr>
            <w:rFonts w:ascii="Times New Roman" w:hAnsi="Times New Roman" w:cs="Times New Roman"/>
            <w:sz w:val="24"/>
            <w:szCs w:val="24"/>
          </w:rPr>
          <w:instrText xml:space="preserve"> PAGE   \* MERGEFORMAT </w:instrText>
        </w:r>
        <w:r w:rsidRPr="00817D35">
          <w:rPr>
            <w:rFonts w:ascii="Times New Roman" w:hAnsi="Times New Roman" w:cs="Times New Roman"/>
            <w:sz w:val="24"/>
            <w:szCs w:val="24"/>
          </w:rPr>
          <w:fldChar w:fldCharType="separate"/>
        </w:r>
        <w:r w:rsidR="00393DE3">
          <w:rPr>
            <w:rFonts w:ascii="Times New Roman" w:hAnsi="Times New Roman" w:cs="Times New Roman"/>
            <w:noProof/>
            <w:sz w:val="24"/>
            <w:szCs w:val="24"/>
          </w:rPr>
          <w:t>1</w:t>
        </w:r>
        <w:r w:rsidRPr="00817D35">
          <w:rPr>
            <w:rFonts w:ascii="Times New Roman" w:hAnsi="Times New Roman" w:cs="Times New Roman"/>
            <w:noProof/>
            <w:sz w:val="24"/>
            <w:szCs w:val="24"/>
          </w:rPr>
          <w:fldChar w:fldCharType="end"/>
        </w:r>
      </w:sdtContent>
    </w:sdt>
  </w:p>
  <w:p w:rsidR="00817D35" w:rsidRPr="00817D35" w:rsidRDefault="00817D35" w:rsidP="00817D35">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D35"/>
    <w:rsid w:val="00053DDA"/>
    <w:rsid w:val="00094EF1"/>
    <w:rsid w:val="000A63B6"/>
    <w:rsid w:val="000E37B6"/>
    <w:rsid w:val="00126EF6"/>
    <w:rsid w:val="00393DE3"/>
    <w:rsid w:val="005618CD"/>
    <w:rsid w:val="005D6BA7"/>
    <w:rsid w:val="006E324E"/>
    <w:rsid w:val="007357DB"/>
    <w:rsid w:val="00762654"/>
    <w:rsid w:val="00817D35"/>
    <w:rsid w:val="0085290D"/>
    <w:rsid w:val="009423D9"/>
    <w:rsid w:val="009B24EF"/>
    <w:rsid w:val="00A91768"/>
    <w:rsid w:val="00C07011"/>
    <w:rsid w:val="00C67AC1"/>
    <w:rsid w:val="00CB21E0"/>
    <w:rsid w:val="00D05E99"/>
    <w:rsid w:val="00D178EF"/>
    <w:rsid w:val="00D76AEC"/>
    <w:rsid w:val="00F6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CEB6E3-06E4-4C15-8509-CC9010BB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D35"/>
  </w:style>
  <w:style w:type="paragraph" w:styleId="Footer">
    <w:name w:val="footer"/>
    <w:basedOn w:val="Normal"/>
    <w:link w:val="FooterChar"/>
    <w:uiPriority w:val="99"/>
    <w:unhideWhenUsed/>
    <w:rsid w:val="00817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D35"/>
  </w:style>
  <w:style w:type="character" w:styleId="Hyperlink">
    <w:name w:val="Hyperlink"/>
    <w:basedOn w:val="DefaultParagraphFont"/>
    <w:uiPriority w:val="99"/>
    <w:unhideWhenUsed/>
    <w:rsid w:val="007626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f.org/en/Publications/WEO/Issues/2019/01/11/weo-update-january-201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2019-02-11T17:55:00Z</dcterms:created>
  <dcterms:modified xsi:type="dcterms:W3CDTF">2019-02-11T17:55:00Z</dcterms:modified>
</cp:coreProperties>
</file>